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3416C2">
        <w:rPr>
          <w:rFonts w:ascii="Constantia" w:hAnsi="Constantia"/>
          <w:b/>
          <w:sz w:val="32"/>
          <w:szCs w:val="32"/>
          <w:u w:val="single"/>
        </w:rPr>
        <w:t>15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3416C2">
        <w:rPr>
          <w:rFonts w:ascii="Constantia" w:hAnsi="Constantia"/>
          <w:b/>
          <w:sz w:val="32"/>
          <w:szCs w:val="32"/>
          <w:u w:val="single"/>
        </w:rPr>
        <w:t>194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3416C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3416C2">
        <w:rPr>
          <w:rFonts w:ascii="Constantia" w:hAnsi="Constantia"/>
          <w:sz w:val="28"/>
          <w:szCs w:val="28"/>
        </w:rPr>
        <w:t xml:space="preserve"> 09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0F0099">
        <w:rPr>
          <w:rFonts w:ascii="Constantia" w:hAnsi="Constantia"/>
          <w:sz w:val="28"/>
          <w:szCs w:val="28"/>
        </w:rPr>
        <w:t>febrero</w:t>
      </w:r>
      <w:r w:rsidR="003416C2">
        <w:rPr>
          <w:rFonts w:ascii="Constantia" w:hAnsi="Constantia"/>
          <w:sz w:val="28"/>
          <w:szCs w:val="28"/>
        </w:rPr>
        <w:t xml:space="preserve">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0F0099">
        <w:rPr>
          <w:rFonts w:ascii="Constantia" w:hAnsi="Constantia"/>
          <w:sz w:val="28"/>
          <w:szCs w:val="28"/>
        </w:rPr>
        <w:t>1</w:t>
      </w:r>
      <w:r w:rsidR="008832EE">
        <w:rPr>
          <w:rFonts w:ascii="Constantia" w:hAnsi="Constantia"/>
          <w:sz w:val="28"/>
          <w:szCs w:val="28"/>
        </w:rPr>
        <w:t>0</w:t>
      </w:r>
      <w:r w:rsidR="00524987" w:rsidRPr="008832EE">
        <w:rPr>
          <w:rFonts w:ascii="Constantia" w:hAnsi="Constantia"/>
          <w:sz w:val="28"/>
          <w:szCs w:val="28"/>
        </w:rPr>
        <w:t>.0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hs.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3416C2">
        <w:rPr>
          <w:rFonts w:ascii="Constantia" w:hAnsi="Constantia"/>
          <w:sz w:val="28"/>
          <w:szCs w:val="28"/>
        </w:rPr>
        <w:t xml:space="preserve"> 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524987" w:rsidRPr="008832EE">
        <w:rPr>
          <w:rFonts w:ascii="Constantia" w:hAnsi="Constantia"/>
          <w:b/>
          <w:sz w:val="28"/>
          <w:szCs w:val="28"/>
        </w:rPr>
        <w:t>UN CAMION</w:t>
      </w:r>
      <w:r w:rsidR="008832EE">
        <w:rPr>
          <w:rFonts w:ascii="Constantia" w:hAnsi="Constantia"/>
          <w:b/>
          <w:sz w:val="28"/>
          <w:szCs w:val="28"/>
        </w:rPr>
        <w:t xml:space="preserve"> USAD</w:t>
      </w:r>
      <w:r w:rsidR="003416C2">
        <w:rPr>
          <w:rFonts w:ascii="Constantia" w:hAnsi="Constantia"/>
          <w:b/>
          <w:sz w:val="28"/>
          <w:szCs w:val="28"/>
        </w:rPr>
        <w:t>O CON CAJA VOLCADORA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2B4857" w:rsidRPr="008832EE">
        <w:rPr>
          <w:b/>
        </w:rPr>
        <w:t xml:space="preserve">, con </w:t>
      </w:r>
      <w:r w:rsidR="009D37E9" w:rsidRPr="008832EE">
        <w:rPr>
          <w:b/>
        </w:rPr>
        <w:t>destino a</w:t>
      </w:r>
      <w:r w:rsidR="003416C2">
        <w:rPr>
          <w:b/>
        </w:rPr>
        <w:t xml:space="preserve"> </w:t>
      </w:r>
      <w:r w:rsidR="009D37E9" w:rsidRPr="008832EE">
        <w:rPr>
          <w:b/>
        </w:rPr>
        <w:t>l</w:t>
      </w:r>
      <w:r w:rsidR="008832EE">
        <w:rPr>
          <w:b/>
        </w:rPr>
        <w:t xml:space="preserve">a </w:t>
      </w:r>
      <w:r w:rsidR="009D37E9" w:rsidRPr="008832EE">
        <w:rPr>
          <w:b/>
        </w:rPr>
        <w:t>D</w:t>
      </w:r>
      <w:r w:rsidR="003416C2">
        <w:rPr>
          <w:b/>
        </w:rPr>
        <w:t xml:space="preserve">elegación de </w:t>
      </w:r>
      <w:proofErr w:type="spellStart"/>
      <w:r w:rsidR="003416C2">
        <w:rPr>
          <w:b/>
        </w:rPr>
        <w:t>Beruti</w:t>
      </w:r>
      <w:proofErr w:type="spellEnd"/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3416C2">
        <w:rPr>
          <w:rFonts w:ascii="Constantia" w:hAnsi="Constantia"/>
          <w:sz w:val="28"/>
          <w:szCs w:val="28"/>
        </w:rPr>
        <w:t xml:space="preserve">el </w:t>
      </w:r>
      <w:r w:rsidRPr="008832EE">
        <w:rPr>
          <w:rFonts w:ascii="Constantia" w:hAnsi="Constantia"/>
          <w:b/>
          <w:sz w:val="28"/>
          <w:szCs w:val="28"/>
        </w:rPr>
        <w:t>Pedido de</w:t>
      </w:r>
      <w:r w:rsidR="003416C2">
        <w:rPr>
          <w:rFonts w:ascii="Constantia" w:hAnsi="Constantia"/>
          <w:b/>
          <w:sz w:val="28"/>
          <w:szCs w:val="28"/>
        </w:rPr>
        <w:t xml:space="preserve"> </w:t>
      </w:r>
      <w:r w:rsidR="003416C2" w:rsidRPr="008832EE">
        <w:rPr>
          <w:rFonts w:ascii="Constantia" w:hAnsi="Constantia"/>
          <w:b/>
          <w:sz w:val="28"/>
          <w:szCs w:val="28"/>
        </w:rPr>
        <w:t>Cotización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3416C2">
        <w:rPr>
          <w:rFonts w:ascii="Constantia" w:hAnsi="Constantia"/>
          <w:b/>
          <w:sz w:val="28"/>
          <w:szCs w:val="28"/>
        </w:rPr>
        <w:t>1502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3416C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="003416C2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2418E2" w:rsidRDefault="002418E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</w:t>
      </w:r>
      <w:r w:rsidR="001572DE"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2418E2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2418E2" w:rsidRDefault="002418E2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r w:rsidR="009B0929">
        <w:rPr>
          <w:rFonts w:ascii="Constantia" w:hAnsi="Constantia"/>
          <w:sz w:val="28"/>
          <w:szCs w:val="28"/>
        </w:rPr>
        <w:t>entrega</w:t>
      </w:r>
      <w:r w:rsidRPr="00F75689">
        <w:rPr>
          <w:rFonts w:ascii="Constantia" w:hAnsi="Constantia"/>
          <w:sz w:val="28"/>
          <w:szCs w:val="28"/>
        </w:rPr>
        <w:t>: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b) Por incumplimiento total o parcial del contrato: perdida proporcional o total de la garantía y diferencia de precios a cargo por la ejecución del contrato por un tercero.</w:t>
      </w: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3416C2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2418E2" w:rsidRDefault="002418E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que podrán llegar hasta la eliminación total y definitiva del Registro de Proveedores de esta comuna.</w:t>
      </w:r>
    </w:p>
    <w:p w:rsidR="000F0099" w:rsidRDefault="000F00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2418E2" w:rsidRDefault="002418E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2418E2" w:rsidRDefault="002418E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2418E2" w:rsidRDefault="002418E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F0099" w:rsidRPr="00F75689" w:rsidRDefault="000F0099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Antes de su adjudicación deberá presentar la siguiente documentación del vehículo: informe de dominio, libre deuda de multas, formulario </w:t>
      </w:r>
      <w:proofErr w:type="spellStart"/>
      <w:r>
        <w:rPr>
          <w:rFonts w:ascii="Constantia" w:hAnsi="Constantia"/>
          <w:sz w:val="28"/>
          <w:szCs w:val="28"/>
        </w:rPr>
        <w:t>ceta</w:t>
      </w:r>
      <w:proofErr w:type="spellEnd"/>
      <w:r>
        <w:rPr>
          <w:rFonts w:ascii="Constantia" w:hAnsi="Constantia"/>
          <w:sz w:val="28"/>
          <w:szCs w:val="28"/>
        </w:rPr>
        <w:t xml:space="preserve"> y cédula.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2418E2" w:rsidRDefault="002418E2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2418E2" w:rsidRDefault="002418E2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2418E2" w:rsidRDefault="002418E2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 xml:space="preserve">entregar </w:t>
      </w:r>
      <w:r w:rsidR="003416C2">
        <w:rPr>
          <w:rFonts w:ascii="Constantia" w:hAnsi="Constantia"/>
          <w:sz w:val="28"/>
          <w:szCs w:val="28"/>
        </w:rPr>
        <w:t>el camión</w:t>
      </w:r>
      <w:r w:rsidR="0027436C">
        <w:rPr>
          <w:rFonts w:ascii="Constantia" w:hAnsi="Constantia"/>
          <w:sz w:val="28"/>
          <w:szCs w:val="28"/>
        </w:rPr>
        <w:t xml:space="preserve">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recibir la solicitud por parte de este municipio, caso contrario sufrirá la penalización dispuesta en el Art.6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2418E2" w:rsidRDefault="002418E2" w:rsidP="00D15653">
      <w:pPr>
        <w:pStyle w:val="NormalWeb"/>
        <w:rPr>
          <w:b/>
          <w:color w:val="000000"/>
          <w:sz w:val="27"/>
          <w:szCs w:val="27"/>
          <w:u w:val="single"/>
        </w:rPr>
      </w:pP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067650">
        <w:rPr>
          <w:b/>
          <w:color w:val="000000"/>
          <w:sz w:val="27"/>
          <w:szCs w:val="27"/>
          <w:u w:val="single"/>
        </w:rPr>
        <w:t xml:space="preserve">ARTICULO </w:t>
      </w:r>
      <w:r w:rsidR="007121A6" w:rsidRPr="00067650">
        <w:rPr>
          <w:b/>
          <w:color w:val="000000"/>
          <w:sz w:val="27"/>
          <w:szCs w:val="27"/>
          <w:u w:val="single"/>
        </w:rPr>
        <w:t>11: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h.c.d.trenquelauquen.com)</w:t>
      </w:r>
    </w:p>
    <w:p w:rsidR="008362DB" w:rsidRDefault="008362DB" w:rsidP="00D15653">
      <w:pPr>
        <w:pStyle w:val="NormalWeb"/>
        <w:rPr>
          <w:color w:val="000000"/>
          <w:sz w:val="27"/>
          <w:szCs w:val="27"/>
        </w:rPr>
      </w:pPr>
    </w:p>
    <w:p w:rsidR="00684FD2" w:rsidRDefault="00684FD2" w:rsidP="00D15653">
      <w:pPr>
        <w:pStyle w:val="NormalWeb"/>
        <w:rPr>
          <w:color w:val="000000"/>
          <w:sz w:val="27"/>
          <w:szCs w:val="27"/>
        </w:rPr>
      </w:pPr>
    </w:p>
    <w:p w:rsidR="002418E2" w:rsidRDefault="002418E2" w:rsidP="00D15653">
      <w:pPr>
        <w:pStyle w:val="NormalWeb"/>
        <w:rPr>
          <w:color w:val="000000"/>
          <w:sz w:val="27"/>
          <w:szCs w:val="27"/>
        </w:rPr>
      </w:pPr>
    </w:p>
    <w:p w:rsidR="002418E2" w:rsidRDefault="002418E2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2418E2" w:rsidRDefault="002418E2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2418E2" w:rsidRDefault="002418E2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DC34C5" w:rsidRDefault="00DC34C5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  <w:r>
        <w:rPr>
          <w:b/>
          <w:i/>
          <w:color w:val="000000"/>
          <w:sz w:val="27"/>
          <w:szCs w:val="27"/>
          <w:u w:val="single"/>
        </w:rPr>
        <w:t>Especificaciones técnicas</w:t>
      </w:r>
    </w:p>
    <w:p w:rsidR="00E20BAC" w:rsidRDefault="00C24A4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Camión</w:t>
      </w:r>
      <w:r w:rsidR="00E20BAC">
        <w:rPr>
          <w:color w:val="000000"/>
          <w:sz w:val="27"/>
          <w:szCs w:val="27"/>
        </w:rPr>
        <w:t xml:space="preserve"> usad</w:t>
      </w:r>
      <w:r>
        <w:rPr>
          <w:color w:val="000000"/>
          <w:sz w:val="27"/>
          <w:szCs w:val="27"/>
        </w:rPr>
        <w:t>o</w:t>
      </w:r>
      <w:r w:rsidR="00E20BAC">
        <w:rPr>
          <w:color w:val="000000"/>
          <w:sz w:val="27"/>
          <w:szCs w:val="27"/>
        </w:rPr>
        <w:t>.</w:t>
      </w:r>
    </w:p>
    <w:p w:rsidR="00E20BAC" w:rsidRDefault="00C24A4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 caja </w:t>
      </w:r>
      <w:proofErr w:type="spellStart"/>
      <w:r>
        <w:rPr>
          <w:color w:val="000000"/>
          <w:sz w:val="27"/>
          <w:szCs w:val="27"/>
        </w:rPr>
        <w:t>volcadora</w:t>
      </w:r>
      <w:proofErr w:type="spellEnd"/>
      <w:r>
        <w:rPr>
          <w:color w:val="000000"/>
          <w:sz w:val="27"/>
          <w:szCs w:val="27"/>
        </w:rPr>
        <w:t>.</w:t>
      </w:r>
    </w:p>
    <w:p w:rsidR="00E20BAC" w:rsidRDefault="00C24A4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Hidráulicos e</w:t>
      </w:r>
      <w:r w:rsidR="00E20BAC">
        <w:rPr>
          <w:color w:val="000000"/>
          <w:sz w:val="27"/>
          <w:szCs w:val="27"/>
        </w:rPr>
        <w:t>n buen estado.</w:t>
      </w:r>
    </w:p>
    <w:p w:rsidR="00E20BAC" w:rsidRDefault="00C24A4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Cubiertas en buen estado</w:t>
      </w:r>
      <w:r w:rsidR="00E20BAC">
        <w:rPr>
          <w:color w:val="000000"/>
          <w:sz w:val="27"/>
          <w:szCs w:val="27"/>
        </w:rPr>
        <w:t>.</w:t>
      </w:r>
    </w:p>
    <w:p w:rsidR="00E20BAC" w:rsidRDefault="00C24A4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Caja </w:t>
      </w:r>
      <w:proofErr w:type="spellStart"/>
      <w:r>
        <w:rPr>
          <w:color w:val="000000"/>
          <w:sz w:val="27"/>
          <w:szCs w:val="27"/>
        </w:rPr>
        <w:t>volcadora</w:t>
      </w:r>
      <w:proofErr w:type="spellEnd"/>
      <w:r>
        <w:rPr>
          <w:color w:val="000000"/>
          <w:sz w:val="27"/>
          <w:szCs w:val="27"/>
        </w:rPr>
        <w:t xml:space="preserve"> capacidad hasta 8m3 máximo.</w:t>
      </w:r>
    </w:p>
    <w:p w:rsidR="00E20BAC" w:rsidRPr="00C24A46" w:rsidRDefault="00E20BAC" w:rsidP="00C24A46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</w:t>
      </w:r>
      <w:r w:rsidR="00C24A46">
        <w:rPr>
          <w:color w:val="000000"/>
          <w:sz w:val="27"/>
          <w:szCs w:val="27"/>
        </w:rPr>
        <w:t>delo camión año 1980 a 1985</w:t>
      </w: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  <w:bookmarkStart w:id="0" w:name="_GoBack"/>
      <w:bookmarkEnd w:id="0"/>
    </w:p>
    <w:sectPr w:rsidR="00A6582F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51D" w:rsidRDefault="00C4351D">
      <w:r>
        <w:separator/>
      </w:r>
    </w:p>
  </w:endnote>
  <w:endnote w:type="continuationSeparator" w:id="1">
    <w:p w:rsidR="00C4351D" w:rsidRDefault="00C43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14" w:rsidRDefault="00F50455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3181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067650" w:rsidP="00AE7ABF">
    <w:pPr>
      <w:pStyle w:val="Piedepgina"/>
      <w:jc w:val="right"/>
    </w:pPr>
    <w:r>
      <w:tab/>
    </w:r>
    <w:r>
      <w:tab/>
    </w:r>
    <w:r>
      <w:rPr>
        <w:noProof/>
      </w:rPr>
      <w:drawing>
        <wp:inline distT="0" distB="0" distL="0" distR="0">
          <wp:extent cx="1024255" cy="1122045"/>
          <wp:effectExtent l="0" t="0" r="4445" b="1905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1220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931814" w:rsidRDefault="008832EE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51D" w:rsidRDefault="00C4351D">
      <w:r>
        <w:separator/>
      </w:r>
    </w:p>
  </w:footnote>
  <w:footnote w:type="continuationSeparator" w:id="1">
    <w:p w:rsidR="00C4351D" w:rsidRDefault="00C43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67650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7732"/>
    <w:rsid w:val="000D7C63"/>
    <w:rsid w:val="000E5E35"/>
    <w:rsid w:val="000F0099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18E2"/>
    <w:rsid w:val="00243A98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F1CC2"/>
    <w:rsid w:val="00303BBE"/>
    <w:rsid w:val="00306F69"/>
    <w:rsid w:val="003154BB"/>
    <w:rsid w:val="003416C2"/>
    <w:rsid w:val="00342431"/>
    <w:rsid w:val="00355E72"/>
    <w:rsid w:val="00357E5F"/>
    <w:rsid w:val="0036629F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C08"/>
    <w:rsid w:val="005363DB"/>
    <w:rsid w:val="00536995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2704"/>
    <w:rsid w:val="00862F38"/>
    <w:rsid w:val="00871D54"/>
    <w:rsid w:val="00873259"/>
    <w:rsid w:val="00875212"/>
    <w:rsid w:val="008775A6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4822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C00C0A"/>
    <w:rsid w:val="00C074FC"/>
    <w:rsid w:val="00C11F74"/>
    <w:rsid w:val="00C13FBD"/>
    <w:rsid w:val="00C2276C"/>
    <w:rsid w:val="00C24A46"/>
    <w:rsid w:val="00C41B5D"/>
    <w:rsid w:val="00C4351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675CB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1B58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E03AB2"/>
    <w:rsid w:val="00E06B63"/>
    <w:rsid w:val="00E07BCE"/>
    <w:rsid w:val="00E12C29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A3"/>
    <w:rsid w:val="00F22370"/>
    <w:rsid w:val="00F22914"/>
    <w:rsid w:val="00F24BA9"/>
    <w:rsid w:val="00F261E4"/>
    <w:rsid w:val="00F30A48"/>
    <w:rsid w:val="00F30BC9"/>
    <w:rsid w:val="00F33694"/>
    <w:rsid w:val="00F4236A"/>
    <w:rsid w:val="00F46BDB"/>
    <w:rsid w:val="00F50455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1C0D-6480-46E4-A6B0-1F99615C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1368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4</cp:revision>
  <cp:lastPrinted>2022-11-28T12:06:00Z</cp:lastPrinted>
  <dcterms:created xsi:type="dcterms:W3CDTF">2023-01-26T17:13:00Z</dcterms:created>
  <dcterms:modified xsi:type="dcterms:W3CDTF">2023-01-27T10:24:00Z</dcterms:modified>
</cp:coreProperties>
</file>