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6D" w:rsidRPr="00F75689" w:rsidRDefault="00C4656D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</w:p>
    <w:p w:rsidR="00E80A0B" w:rsidRPr="00CC7688" w:rsidRDefault="00694786" w:rsidP="00E80A0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CONCURSO DE PRECIOS</w:t>
      </w:r>
      <w:r w:rsidR="007D642E" w:rsidRPr="00CC7688">
        <w:rPr>
          <w:b/>
          <w:u w:val="single"/>
        </w:rPr>
        <w:t xml:space="preserve"> </w:t>
      </w:r>
      <w:r w:rsidR="00EF5692" w:rsidRPr="00CC7688">
        <w:rPr>
          <w:b/>
          <w:u w:val="single"/>
        </w:rPr>
        <w:t xml:space="preserve">Nº </w:t>
      </w:r>
      <w:r w:rsidR="00BE5D69" w:rsidRPr="00CC7688">
        <w:rPr>
          <w:b/>
          <w:u w:val="single"/>
        </w:rPr>
        <w:t xml:space="preserve"> </w:t>
      </w:r>
      <w:r>
        <w:rPr>
          <w:b/>
          <w:u w:val="single"/>
        </w:rPr>
        <w:t>136</w:t>
      </w:r>
      <w:r w:rsidR="00EB1DFE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>PEDIENTE Nº</w:t>
      </w:r>
      <w:r w:rsidR="003C1022" w:rsidRPr="00CC7688">
        <w:rPr>
          <w:b/>
          <w:u w:val="single"/>
        </w:rPr>
        <w:t xml:space="preserve"> </w:t>
      </w:r>
      <w:r w:rsidR="00694786">
        <w:rPr>
          <w:b/>
          <w:u w:val="single"/>
        </w:rPr>
        <w:t>2410</w:t>
      </w:r>
      <w:r w:rsidR="00B3776A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  <w:r w:rsidR="00E80A0B" w:rsidRPr="00CC7688">
        <w:rPr>
          <w:u w:val="single"/>
        </w:rPr>
        <w:t xml:space="preserve"> 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  <w:r w:rsidRPr="00CC7688">
        <w:rPr>
          <w:u w:val="single"/>
        </w:rPr>
        <w:t xml:space="preserve"> </w:t>
      </w: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694786">
        <w:rPr>
          <w:b/>
        </w:rPr>
        <w:t>CONCURSO DE PRECIOS</w:t>
      </w:r>
      <w:r w:rsidRPr="00CC7688">
        <w:t xml:space="preserve"> para el día</w:t>
      </w:r>
      <w:r w:rsidR="005B76FB" w:rsidRPr="00CC7688">
        <w:t xml:space="preserve"> </w:t>
      </w:r>
      <w:r w:rsidR="00694786">
        <w:t>30</w:t>
      </w:r>
      <w:r w:rsidR="0049083B" w:rsidRPr="00CC7688">
        <w:t xml:space="preserve"> de</w:t>
      </w:r>
      <w:r w:rsidR="00841CBA" w:rsidRPr="00CC7688">
        <w:t xml:space="preserve"> </w:t>
      </w:r>
      <w:r w:rsidR="006F30E0">
        <w:t>Noviem</w:t>
      </w:r>
      <w:r w:rsidR="00056CA3">
        <w:t>bre</w:t>
      </w:r>
      <w:r w:rsidR="00EC32D1" w:rsidRPr="00CC7688">
        <w:t xml:space="preserve"> </w:t>
      </w:r>
      <w:r w:rsidRPr="00CC7688">
        <w:t>de 20</w:t>
      </w:r>
      <w:r w:rsidR="00A6375C" w:rsidRPr="00CC7688">
        <w:t>2</w:t>
      </w:r>
      <w:r w:rsidR="000610D2" w:rsidRPr="00CC7688">
        <w:t>3</w:t>
      </w:r>
      <w:r w:rsidRPr="00CC7688">
        <w:t xml:space="preserve"> a las </w:t>
      </w:r>
      <w:r w:rsidR="00056CA3">
        <w:t>10.</w:t>
      </w:r>
      <w:r w:rsidR="00223579">
        <w:t>0</w:t>
      </w:r>
      <w:r w:rsidR="00811C1E" w:rsidRPr="00CC7688">
        <w:t>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694786">
        <w:rPr>
          <w:b/>
        </w:rPr>
        <w:t>10</w:t>
      </w:r>
      <w:r w:rsidR="006F30E0">
        <w:rPr>
          <w:b/>
        </w:rPr>
        <w:t>.000</w:t>
      </w:r>
      <w:r w:rsidR="00CC7688">
        <w:rPr>
          <w:b/>
        </w:rPr>
        <w:t xml:space="preserve"> </w:t>
      </w:r>
      <w:r w:rsidR="00B6058D" w:rsidRPr="00CC7688">
        <w:rPr>
          <w:b/>
        </w:rPr>
        <w:t>(</w:t>
      </w:r>
      <w:r w:rsidR="00694786">
        <w:rPr>
          <w:b/>
        </w:rPr>
        <w:t>Diez</w:t>
      </w:r>
      <w:r w:rsidR="00BE769B">
        <w:rPr>
          <w:b/>
        </w:rPr>
        <w:t xml:space="preserve"> </w:t>
      </w:r>
      <w:r w:rsidR="00CA2171" w:rsidRPr="00CC7688">
        <w:rPr>
          <w:b/>
        </w:rPr>
        <w:t>mil)</w:t>
      </w:r>
      <w:r w:rsidR="00AA44A8" w:rsidRPr="00CC7688">
        <w:rPr>
          <w:b/>
        </w:rPr>
        <w:t xml:space="preserve"> </w:t>
      </w:r>
      <w:r w:rsidR="00B8264D" w:rsidRPr="00CC7688">
        <w:rPr>
          <w:b/>
        </w:rPr>
        <w:t>litros de gasoil</w:t>
      </w:r>
      <w:r w:rsidR="00694786">
        <w:rPr>
          <w:b/>
        </w:rPr>
        <w:t>- tipo Euro</w:t>
      </w:r>
      <w:r w:rsidR="00CA2171" w:rsidRPr="00CC7688">
        <w:rPr>
          <w:b/>
        </w:rPr>
        <w:t>"</w:t>
      </w:r>
      <w:r w:rsidR="000B69FC">
        <w:rPr>
          <w:b/>
        </w:rPr>
        <w:t xml:space="preserve"> con destino a</w:t>
      </w:r>
      <w:r w:rsidR="00150C3E" w:rsidRPr="00CC7688">
        <w:rPr>
          <w:b/>
        </w:rPr>
        <w:t xml:space="preserve"> la Municipalidad de Trenque Lauquen,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Pr="00CC7688">
        <w:t xml:space="preserve"> </w:t>
      </w:r>
      <w:r w:rsidRPr="00CC7688">
        <w:rPr>
          <w:b/>
        </w:rPr>
        <w:t>Cotización Nº</w:t>
      </w:r>
      <w:r w:rsidR="007D6D75" w:rsidRPr="00CC7688">
        <w:rPr>
          <w:b/>
        </w:rPr>
        <w:t xml:space="preserve"> </w:t>
      </w:r>
      <w:r w:rsidR="000B799A">
        <w:rPr>
          <w:b/>
        </w:rPr>
        <w:t>19952</w:t>
      </w:r>
      <w:r w:rsidR="00A72830" w:rsidRPr="00CC7688">
        <w:rPr>
          <w:b/>
        </w:rPr>
        <w:t xml:space="preserve"> </w:t>
      </w:r>
      <w:r w:rsidR="001577E2" w:rsidRPr="00CC7688">
        <w:rPr>
          <w:b/>
        </w:rPr>
        <w:t xml:space="preserve"> </w:t>
      </w:r>
      <w:r w:rsidRPr="00CC7688">
        <w:t>que como anexo 1 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30B4C" w:rsidRPr="00CC7688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Pr="00CC7688">
        <w:t xml:space="preserve"> 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</w:t>
      </w:r>
    </w:p>
    <w:p w:rsidR="00F11905" w:rsidRPr="00CC7688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CC7688">
        <w:t>Si este día fuese feriado o se declarase asueto administrativo, la apertura pasara para el día hábil posterior inmediato a la misma hora.</w:t>
      </w:r>
      <w:r w:rsidR="008B723B" w:rsidRPr="00CC7688">
        <w:rPr>
          <w:noProof/>
          <w:lang w:val="es-AR" w:eastAsia="es-AR"/>
        </w:rPr>
        <w:t xml:space="preserve"> </w:t>
      </w:r>
      <w:r w:rsidR="00E800F8" w:rsidRPr="00CC7688">
        <w:rPr>
          <w:noProof/>
          <w:lang w:val="es-AR" w:eastAsia="es-AR"/>
        </w:rPr>
        <w:t xml:space="preserve">                 </w:t>
      </w:r>
    </w:p>
    <w:p w:rsidR="008B472F" w:rsidRPr="00CC7688" w:rsidRDefault="008B472F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1572DE" w:rsidRPr="00CC7688">
        <w:t xml:space="preserve"> </w:t>
      </w:r>
      <w:r w:rsidR="001572DE" w:rsidRPr="00CC7688">
        <w:rPr>
          <w:b/>
        </w:rPr>
        <w:t>DE LA PROPUESTA</w:t>
      </w:r>
      <w:r w:rsidR="001572DE" w:rsidRPr="00CC7688">
        <w:t>:</w:t>
      </w:r>
      <w:r w:rsidR="001572DE" w:rsidRPr="00CC7688">
        <w:rPr>
          <w:b/>
        </w:rPr>
        <w:t xml:space="preserve"> </w:t>
      </w:r>
      <w:r w:rsidR="001572DE" w:rsidRPr="00CC7688">
        <w:t xml:space="preserve">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articulo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  <w:bookmarkStart w:id="0" w:name="_GoBack"/>
      <w:bookmarkEnd w:id="0"/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Pr="00CC7688">
        <w:t xml:space="preserve"> 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</w:t>
      </w:r>
      <w:r w:rsidR="006F30E0" w:rsidRPr="00CC7688">
        <w:t>número</w:t>
      </w:r>
      <w:r w:rsidR="001572DE" w:rsidRPr="00CC7688">
        <w:t xml:space="preserve"> de Licitación Privada, hora y fecha de apertura de sobres.</w:t>
      </w:r>
      <w:r w:rsidR="00F11905" w:rsidRPr="00CC7688">
        <w:t xml:space="preserve"> 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  <w:r w:rsidR="00BF57C7" w:rsidRPr="00CC7688">
        <w:rPr>
          <w:noProof/>
        </w:rPr>
        <w:t xml:space="preserve"> 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  <w:r w:rsidRPr="00CC7688"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c)- cheque</w:t>
      </w:r>
      <w:r w:rsidR="007D6D75" w:rsidRPr="00CC7688">
        <w:t xml:space="preserve">  a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  <w:r w:rsidRPr="00CC7688">
        <w:rPr>
          <w:noProof/>
        </w:rPr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1572DE">
      <w:pPr>
        <w:tabs>
          <w:tab w:val="left" w:pos="7307"/>
        </w:tabs>
        <w:spacing w:line="360" w:lineRule="auto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Pr="00CC7688">
        <w:t xml:space="preserve"> Por entrega de</w:t>
      </w:r>
      <w:r w:rsidR="004760CB" w:rsidRPr="00CC7688">
        <w:t>l combustible</w:t>
      </w:r>
      <w:r w:rsidRPr="00CC7688">
        <w:t xml:space="preserve"> fuera de término contractual: multa por mora que será del 0.25% diario del valor de</w:t>
      </w:r>
      <w:r w:rsidR="004760CB" w:rsidRPr="00CC7688">
        <w:t>l mismo.</w:t>
      </w:r>
      <w:r w:rsidRPr="00CC7688">
        <w:t xml:space="preserve">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</w:t>
      </w: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  <w:r w:rsidR="00BF57C7" w:rsidRPr="00CC7688">
        <w:rPr>
          <w:noProof/>
        </w:rPr>
        <w:t xml:space="preserve"> 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Las razones de fortuitas o de fuerza mayor deberán ser puestas en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A44AA3" w:rsidRPr="00CC7688" w:rsidRDefault="00A44AA3" w:rsidP="001572DE">
      <w:pPr>
        <w:tabs>
          <w:tab w:val="left" w:pos="7307"/>
        </w:tabs>
        <w:spacing w:line="360" w:lineRule="auto"/>
        <w:jc w:val="both"/>
      </w:pP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</w:t>
      </w:r>
      <w:r w:rsidR="00F02EC5">
        <w:t xml:space="preserve"> </w:t>
      </w:r>
      <w:r w:rsidRPr="00CC7688">
        <w:t>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</w:t>
      </w: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un plazo no mayor a los siete (7) días de la fecha de apertura del sobre, quedando a exclusivo juicio de la Municipalidad aceptar la oferta más conveniente o rechazarlas a todas, sin derecho a ningún reclamo por parte de los oferentes.</w:t>
      </w:r>
      <w:r w:rsidR="00BF57C7" w:rsidRPr="00CC7688">
        <w:rPr>
          <w:noProof/>
        </w:rPr>
        <w:t xml:space="preserve"> </w:t>
      </w:r>
    </w:p>
    <w:p w:rsidR="00066EC6" w:rsidRPr="00CC7688" w:rsidRDefault="003F1702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 </w:t>
      </w:r>
      <w:r w:rsidR="00066EC6"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El plazo de la entrega </w:t>
      </w:r>
      <w:r w:rsidR="00BD50B4" w:rsidRPr="00CC7688">
        <w:t>será conforme</w:t>
      </w:r>
      <w:r w:rsidRPr="00CC7688">
        <w:t xml:space="preserve"> lo vaya requiriendo la Municipalidad de acuerdo a sus necesidades, </w:t>
      </w:r>
      <w:r w:rsidRPr="00694786">
        <w:rPr>
          <w:u w:val="single"/>
        </w:rPr>
        <w:t xml:space="preserve">completando su demanda en </w:t>
      </w:r>
      <w:r w:rsidR="00694786" w:rsidRPr="00694786">
        <w:rPr>
          <w:u w:val="single"/>
        </w:rPr>
        <w:t>DOS partes de 5mil lts</w:t>
      </w:r>
      <w:r w:rsidR="00694786">
        <w:t xml:space="preserve"> cada uno en </w:t>
      </w:r>
      <w:r w:rsidRPr="00CC7688">
        <w:t>un plazo no mayor de 25 (veinticinco) días.</w:t>
      </w:r>
    </w:p>
    <w:p w:rsidR="00E42899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El proveedor dispondrá de un tiempo máximo de 48 horas para </w:t>
      </w:r>
      <w:r w:rsidR="00EB5827" w:rsidRPr="00CC7688">
        <w:t>entregar el</w:t>
      </w:r>
      <w:r w:rsidRPr="00CC7688">
        <w:t xml:space="preserve"> </w:t>
      </w:r>
      <w:r w:rsidR="001B5EAE" w:rsidRPr="00CC7688">
        <w:t>combustible luego</w:t>
      </w:r>
      <w:r w:rsidRPr="00CC7688">
        <w:t xml:space="preserve"> de recibir la </w:t>
      </w:r>
      <w:r w:rsidR="001B5EAE" w:rsidRPr="00CC7688">
        <w:t>solicitud por</w:t>
      </w:r>
      <w:r w:rsidRPr="00CC7688">
        <w:t xml:space="preserve"> parte de este </w:t>
      </w: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>municipio, caso contrario sufrirá la penalización dispuesta en el Art.</w:t>
      </w:r>
      <w:r w:rsidR="002271F4" w:rsidRPr="00CC7688">
        <w:t>6</w:t>
      </w:r>
      <w:r w:rsidRPr="00CC7688"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>El pago será entendido contra entrega del combustible</w:t>
      </w:r>
      <w:r w:rsidR="00F11905" w:rsidRPr="00CC7688">
        <w:rPr>
          <w:b/>
          <w:i/>
        </w:rPr>
        <w:t xml:space="preserve">, pudiendo ser parcial si la misma es de esa </w:t>
      </w:r>
      <w:r w:rsidR="00EB5827" w:rsidRPr="00CC7688">
        <w:rPr>
          <w:b/>
          <w:i/>
        </w:rPr>
        <w:t>forma</w:t>
      </w:r>
      <w:r w:rsidR="00EB5827" w:rsidRPr="00CC7688">
        <w:t xml:space="preserve">. </w:t>
      </w:r>
      <w:r w:rsidR="000B799A">
        <w:t>–</w:t>
      </w:r>
      <w:r w:rsidRPr="00CC7688">
        <w:t xml:space="preserve"> </w:t>
      </w:r>
    </w:p>
    <w:p w:rsidR="000B799A" w:rsidRDefault="000B799A" w:rsidP="00515EAB">
      <w:pPr>
        <w:tabs>
          <w:tab w:val="left" w:pos="7307"/>
        </w:tabs>
        <w:spacing w:line="360" w:lineRule="auto"/>
        <w:jc w:val="both"/>
      </w:pPr>
    </w:p>
    <w:p w:rsidR="000B799A" w:rsidRPr="000B799A" w:rsidRDefault="000B799A" w:rsidP="00515EAB">
      <w:pPr>
        <w:tabs>
          <w:tab w:val="left" w:pos="7307"/>
        </w:tabs>
        <w:spacing w:line="360" w:lineRule="auto"/>
        <w:jc w:val="both"/>
        <w:rPr>
          <w:u w:val="single"/>
        </w:rPr>
      </w:pPr>
      <w:r w:rsidRPr="000B799A">
        <w:rPr>
          <w:u w:val="single"/>
        </w:rPr>
        <w:t>La facturación debe presentarse con FACTURA “A”.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rPr>
          <w:u w:val="single"/>
        </w:rPr>
        <w:t>ARTICULO 11</w:t>
      </w:r>
      <w:r w:rsidRPr="00CC7688">
        <w:t>:</w:t>
      </w: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En el momento de ser descargado dicho </w:t>
      </w:r>
      <w:r w:rsidR="00B6058D" w:rsidRPr="00CC7688">
        <w:t>producto,</w:t>
      </w:r>
      <w:r w:rsidRPr="00CC7688">
        <w:t xml:space="preserve"> se le </w:t>
      </w:r>
      <w:r w:rsidR="00445FD5" w:rsidRPr="00CC7688">
        <w:t>sacará</w:t>
      </w:r>
      <w:r w:rsidRPr="00CC7688">
        <w:t xml:space="preserve"> una </w:t>
      </w:r>
      <w:r w:rsidR="00B6058D" w:rsidRPr="00CC7688">
        <w:t>muestra,</w:t>
      </w:r>
      <w:r w:rsidRPr="00CC7688">
        <w:t xml:space="preserve"> la cual será analizada frente al chofer del transporte, la </w:t>
      </w:r>
      <w:r w:rsidR="009D7D23" w:rsidRPr="00CC7688">
        <w:t>misma</w:t>
      </w:r>
      <w:r w:rsidRPr="00CC7688">
        <w:t xml:space="preserve"> queda a criterio del municipio su descarga.</w:t>
      </w: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  <w:r w:rsidR="005C3389" w:rsidRPr="00CC7688">
        <w:rPr>
          <w:color w:val="000000"/>
        </w:rPr>
        <w:t xml:space="preserve"> </w:t>
      </w:r>
    </w:p>
    <w:p w:rsidR="00536995" w:rsidRDefault="005C3389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 </w:t>
      </w:r>
      <w:hyperlink r:id="rId8" w:history="1">
        <w:r w:rsidR="00056CA3" w:rsidRPr="00D4795D">
          <w:rPr>
            <w:rStyle w:val="Hipervnculo"/>
          </w:rPr>
          <w:t>www.hcdtrenquelauquencom</w:t>
        </w:r>
      </w:hyperlink>
    </w:p>
    <w:p w:rsidR="00056CA3" w:rsidRPr="00CC7688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</w:p>
    <w:p w:rsidR="00327527" w:rsidRPr="00CC7688" w:rsidRDefault="00327527" w:rsidP="00D15653">
      <w:pPr>
        <w:pStyle w:val="NormalWeb"/>
        <w:rPr>
          <w:b/>
          <w:color w:val="000000"/>
        </w:rPr>
      </w:pPr>
      <w:r w:rsidRPr="00CC7688">
        <w:rPr>
          <w:b/>
          <w:color w:val="000000"/>
        </w:rPr>
        <w:t xml:space="preserve">**TIPO DE GAS OIL: </w:t>
      </w:r>
      <w:r w:rsidR="00694786">
        <w:rPr>
          <w:b/>
          <w:color w:val="000000"/>
        </w:rPr>
        <w:t>TIPO EURO</w:t>
      </w:r>
      <w:r w:rsidRPr="00CC7688">
        <w:rPr>
          <w:b/>
          <w:color w:val="000000"/>
        </w:rPr>
        <w:t>**</w:t>
      </w:r>
    </w:p>
    <w:sectPr w:rsidR="00327527" w:rsidRPr="00CC7688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6F" w:rsidRDefault="00417C6F">
      <w:r>
        <w:separator/>
      </w:r>
    </w:p>
  </w:endnote>
  <w:endnote w:type="continuationSeparator" w:id="0">
    <w:p w:rsidR="00417C6F" w:rsidRDefault="0041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8D46A9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AC2F0A" w:rsidP="00AE7ABF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61312" behindDoc="1" locked="0" layoutInCell="1" allowOverlap="1" wp14:anchorId="39C47427" wp14:editId="40A8BC02">
          <wp:simplePos x="0" y="0"/>
          <wp:positionH relativeFrom="margin">
            <wp:posOffset>4495800</wp:posOffset>
          </wp:positionH>
          <wp:positionV relativeFrom="paragraph">
            <wp:posOffset>-723900</wp:posOffset>
          </wp:positionV>
          <wp:extent cx="828040" cy="9048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Pr="00C674DB" w:rsidRDefault="005700E2" w:rsidP="00AB04F5">
    <w:pPr>
      <w:pStyle w:val="Piedepgina"/>
      <w:jc w:val="right"/>
      <w:rPr>
        <w:sz w:val="20"/>
        <w:szCs w:val="20"/>
      </w:rPr>
    </w:pPr>
    <w:r w:rsidRPr="00C674DB">
      <w:rPr>
        <w:sz w:val="20"/>
        <w:szCs w:val="20"/>
      </w:rPr>
      <w:t>Leandro CONCEPCION</w:t>
    </w:r>
  </w:p>
  <w:p w:rsidR="005700E2" w:rsidRPr="00C674DB" w:rsidRDefault="00223579" w:rsidP="00AB04F5">
    <w:pPr>
      <w:pStyle w:val="Piedepgina"/>
      <w:jc w:val="right"/>
      <w:rPr>
        <w:sz w:val="20"/>
        <w:szCs w:val="20"/>
      </w:rPr>
    </w:pPr>
    <w:r w:rsidRPr="00C674D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 w:rsidRPr="00C674DB">
      <w:rPr>
        <w:sz w:val="20"/>
        <w:szCs w:val="20"/>
      </w:rPr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6F" w:rsidRDefault="00417C6F">
      <w:r>
        <w:separator/>
      </w:r>
    </w:p>
  </w:footnote>
  <w:footnote w:type="continuationSeparator" w:id="0">
    <w:p w:rsidR="00417C6F" w:rsidRDefault="0041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F3A"/>
    <w:multiLevelType w:val="hybridMultilevel"/>
    <w:tmpl w:val="5536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56CA3"/>
    <w:rsid w:val="000610D2"/>
    <w:rsid w:val="00066EC6"/>
    <w:rsid w:val="00070417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69FC"/>
    <w:rsid w:val="000B777B"/>
    <w:rsid w:val="000B799A"/>
    <w:rsid w:val="000C4F2F"/>
    <w:rsid w:val="000D7C63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220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43A9"/>
    <w:rsid w:val="002B53CF"/>
    <w:rsid w:val="002B6EC9"/>
    <w:rsid w:val="002B7F6E"/>
    <w:rsid w:val="002C14F0"/>
    <w:rsid w:val="002C17E4"/>
    <w:rsid w:val="002C7FC3"/>
    <w:rsid w:val="00303BBE"/>
    <w:rsid w:val="00306F69"/>
    <w:rsid w:val="003154BB"/>
    <w:rsid w:val="00327527"/>
    <w:rsid w:val="00342431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17A62"/>
    <w:rsid w:val="00417C6F"/>
    <w:rsid w:val="00422B39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0696"/>
    <w:rsid w:val="00553357"/>
    <w:rsid w:val="00555879"/>
    <w:rsid w:val="0056191F"/>
    <w:rsid w:val="0056324D"/>
    <w:rsid w:val="005700E2"/>
    <w:rsid w:val="00570861"/>
    <w:rsid w:val="00571C47"/>
    <w:rsid w:val="00592C53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4786"/>
    <w:rsid w:val="00696E43"/>
    <w:rsid w:val="006B662A"/>
    <w:rsid w:val="006D5C7E"/>
    <w:rsid w:val="006E5311"/>
    <w:rsid w:val="006E61C9"/>
    <w:rsid w:val="006E6D45"/>
    <w:rsid w:val="006F041E"/>
    <w:rsid w:val="006F053A"/>
    <w:rsid w:val="006F30E0"/>
    <w:rsid w:val="006F7A63"/>
    <w:rsid w:val="00715A20"/>
    <w:rsid w:val="007229F3"/>
    <w:rsid w:val="007240FC"/>
    <w:rsid w:val="00725C8F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83356"/>
    <w:rsid w:val="00991141"/>
    <w:rsid w:val="0099791C"/>
    <w:rsid w:val="009B17A2"/>
    <w:rsid w:val="009B38B7"/>
    <w:rsid w:val="009B4BD2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63F8"/>
    <w:rsid w:val="00AB04F5"/>
    <w:rsid w:val="00AB185E"/>
    <w:rsid w:val="00AC0A82"/>
    <w:rsid w:val="00AC2F0A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674DB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3694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A6354D7C-E7C0-4C64-972D-6E9C25E8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5F81-EA91-41D0-9E48-36C17DAA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1308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8492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 03</cp:lastModifiedBy>
  <cp:revision>8</cp:revision>
  <cp:lastPrinted>2023-06-06T12:58:00Z</cp:lastPrinted>
  <dcterms:created xsi:type="dcterms:W3CDTF">2023-09-26T16:08:00Z</dcterms:created>
  <dcterms:modified xsi:type="dcterms:W3CDTF">2023-11-24T11:24:00Z</dcterms:modified>
</cp:coreProperties>
</file>