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542EB9">
        <w:rPr>
          <w:rFonts w:ascii="Constantia" w:hAnsi="Constantia"/>
          <w:b/>
          <w:u w:val="single"/>
        </w:rPr>
        <w:t>66</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542EB9">
        <w:rPr>
          <w:rFonts w:ascii="Constantia" w:hAnsi="Constantia"/>
          <w:b/>
          <w:u w:val="single"/>
        </w:rPr>
        <w:t xml:space="preserve"> 1488</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542EB9">
        <w:rPr>
          <w:rFonts w:ascii="Constantia" w:hAnsi="Constantia"/>
        </w:rPr>
        <w:t>27</w:t>
      </w:r>
      <w:r w:rsidR="00030B78" w:rsidRPr="00313D78">
        <w:rPr>
          <w:rFonts w:ascii="Constantia" w:hAnsi="Constantia"/>
        </w:rPr>
        <w:t xml:space="preserve"> de </w:t>
      </w:r>
      <w:r w:rsidR="00542EB9">
        <w:rPr>
          <w:rFonts w:ascii="Constantia" w:hAnsi="Constantia"/>
        </w:rPr>
        <w:t>Jul</w:t>
      </w:r>
      <w:r w:rsidR="005B5FFC" w:rsidRPr="00313D78">
        <w:rPr>
          <w:rFonts w:ascii="Constantia" w:hAnsi="Constantia"/>
        </w:rPr>
        <w:t>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2B61BC">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542EB9">
        <w:rPr>
          <w:rFonts w:ascii="Constantia" w:hAnsi="Constantia"/>
          <w:b/>
        </w:rPr>
        <w:t>CAÑOS DE HORMIGON para pluviales”</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542EB9">
        <w:rPr>
          <w:rFonts w:ascii="Constantia" w:hAnsi="Constantia"/>
          <w:b/>
        </w:rPr>
        <w:t xml:space="preserve"> 11649 y Nº 11648</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Art.6 </w:t>
      </w:r>
      <w:r w:rsidRPr="00313D78">
        <w:rPr>
          <w:rFonts w:ascii="Constantia" w:hAnsi="Constantia"/>
        </w:rPr>
        <w:t xml:space="preserve"> del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r>
        <w:rPr>
          <w:color w:val="000000"/>
        </w:rPr>
        <w:t>ANEXO I</w:t>
      </w:r>
    </w:p>
    <w:p w:rsidR="00460D82" w:rsidRDefault="00542EB9" w:rsidP="00950CA1">
      <w:pPr>
        <w:pStyle w:val="NormalWeb"/>
        <w:jc w:val="both"/>
        <w:rPr>
          <w:color w:val="000000"/>
        </w:rPr>
      </w:pPr>
      <w:r>
        <w:rPr>
          <w:color w:val="000000"/>
        </w:rPr>
        <w:t>Características Cañerías pre moldeadas de Hormigón</w:t>
      </w:r>
    </w:p>
    <w:p w:rsidR="00542EB9" w:rsidRDefault="00894CEF" w:rsidP="00894CEF">
      <w:pPr>
        <w:pStyle w:val="NormalWeb"/>
        <w:jc w:val="both"/>
        <w:rPr>
          <w:color w:val="000000"/>
        </w:rPr>
      </w:pPr>
      <w:r>
        <w:rPr>
          <w:color w:val="000000"/>
        </w:rPr>
        <w:t>Las características técnicas a cumplir por los módulos son los siguientes:</w:t>
      </w:r>
    </w:p>
    <w:p w:rsidR="008374B4" w:rsidRPr="008374B4" w:rsidRDefault="00894CEF" w:rsidP="008374B4">
      <w:pPr>
        <w:pStyle w:val="NormalWeb"/>
        <w:numPr>
          <w:ilvl w:val="0"/>
          <w:numId w:val="6"/>
        </w:numPr>
        <w:jc w:val="both"/>
        <w:rPr>
          <w:color w:val="000000"/>
        </w:rPr>
      </w:pPr>
      <w:r>
        <w:rPr>
          <w:color w:val="000000"/>
        </w:rPr>
        <w:t xml:space="preserve">Construidas en hormigón </w:t>
      </w:r>
      <w:r w:rsidR="008374B4">
        <w:rPr>
          <w:color w:val="000000"/>
        </w:rPr>
        <w:t>H21 vibrado, con una resistencia de 210kg/cm2</w:t>
      </w:r>
    </w:p>
    <w:p w:rsidR="008374B4" w:rsidRDefault="008374B4" w:rsidP="008374B4">
      <w:pPr>
        <w:pStyle w:val="NormalWeb"/>
        <w:numPr>
          <w:ilvl w:val="0"/>
          <w:numId w:val="6"/>
        </w:numPr>
        <w:jc w:val="both"/>
        <w:rPr>
          <w:color w:val="000000"/>
        </w:rPr>
      </w:pPr>
      <w:r>
        <w:rPr>
          <w:color w:val="000000"/>
        </w:rPr>
        <w:t xml:space="preserve">Medidas internas: </w:t>
      </w:r>
    </w:p>
    <w:p w:rsidR="008374B4" w:rsidRDefault="008374B4" w:rsidP="008374B4">
      <w:pPr>
        <w:pStyle w:val="NormalWeb"/>
        <w:ind w:left="720"/>
        <w:jc w:val="both"/>
        <w:rPr>
          <w:color w:val="000000"/>
        </w:rPr>
      </w:pPr>
      <w:r>
        <w:rPr>
          <w:color w:val="000000"/>
        </w:rPr>
        <w:t>*Altura máxima 1 metro</w:t>
      </w:r>
    </w:p>
    <w:p w:rsidR="008374B4" w:rsidRDefault="008374B4" w:rsidP="008374B4">
      <w:pPr>
        <w:pStyle w:val="NormalWeb"/>
        <w:ind w:left="720"/>
        <w:jc w:val="both"/>
        <w:rPr>
          <w:color w:val="000000"/>
        </w:rPr>
      </w:pPr>
      <w:r>
        <w:rPr>
          <w:color w:val="000000"/>
        </w:rPr>
        <w:t>*A</w:t>
      </w:r>
      <w:r w:rsidRPr="008374B4">
        <w:rPr>
          <w:color w:val="000000"/>
        </w:rPr>
        <w:t xml:space="preserve">ncho </w:t>
      </w:r>
    </w:p>
    <w:p w:rsidR="008374B4" w:rsidRDefault="008374B4" w:rsidP="008374B4">
      <w:pPr>
        <w:pStyle w:val="NormalWeb"/>
        <w:ind w:left="720"/>
        <w:jc w:val="both"/>
        <w:rPr>
          <w:color w:val="000000"/>
        </w:rPr>
      </w:pPr>
      <w:r>
        <w:rPr>
          <w:color w:val="000000"/>
        </w:rPr>
        <w:t>*Largo (mínimo) 1 metro</w:t>
      </w:r>
    </w:p>
    <w:p w:rsidR="008374B4" w:rsidRDefault="008374B4" w:rsidP="008374B4">
      <w:pPr>
        <w:pStyle w:val="NormalWeb"/>
        <w:ind w:left="720"/>
        <w:jc w:val="both"/>
        <w:rPr>
          <w:color w:val="000000"/>
        </w:rPr>
      </w:pPr>
      <w:r>
        <w:rPr>
          <w:color w:val="000000"/>
        </w:rPr>
        <w:t>*Sección interna: 7.145 cm2</w:t>
      </w:r>
    </w:p>
    <w:p w:rsidR="008374B4" w:rsidRDefault="008374B4" w:rsidP="008374B4">
      <w:pPr>
        <w:pStyle w:val="NormalWeb"/>
        <w:numPr>
          <w:ilvl w:val="0"/>
          <w:numId w:val="6"/>
        </w:numPr>
        <w:jc w:val="both"/>
        <w:rPr>
          <w:color w:val="000000"/>
        </w:rPr>
      </w:pPr>
      <w:r>
        <w:rPr>
          <w:color w:val="000000"/>
        </w:rPr>
        <w:t xml:space="preserve">Capacidad: carga total de transporte: es de 30.000kg. Tándem delantero de 13.000kg y Tándem trasero de 17.000kg. Esta carga transmite a la estructura mediante el suelo de tapada 7.7730 kg/m2 </w:t>
      </w:r>
      <w:r w:rsidR="00ED1306">
        <w:rPr>
          <w:color w:val="000000"/>
        </w:rPr>
        <w:t>afectado con el coeficiente del impacto de 1.25= 8.800kg/m2, con que fue realizado el cálculo de estructura de acuerdo a las exigencias de Vialidad Nacional para un puente carretero del tipo A30.</w:t>
      </w:r>
    </w:p>
    <w:p w:rsidR="00ED1306" w:rsidRDefault="00ED1306" w:rsidP="00ED1306">
      <w:pPr>
        <w:pStyle w:val="NormalWeb"/>
        <w:jc w:val="both"/>
        <w:rPr>
          <w:color w:val="000000"/>
        </w:rPr>
      </w:pPr>
      <w:r>
        <w:rPr>
          <w:color w:val="000000"/>
        </w:rPr>
        <w:t xml:space="preserve">Se deberá indicar marca y características del material a los efectos que esta Subsecretaria </w:t>
      </w:r>
      <w:proofErr w:type="spellStart"/>
      <w:r>
        <w:rPr>
          <w:color w:val="000000"/>
        </w:rPr>
        <w:t>evalue</w:t>
      </w:r>
      <w:proofErr w:type="spellEnd"/>
      <w:r>
        <w:rPr>
          <w:color w:val="000000"/>
        </w:rPr>
        <w:t xml:space="preserve"> las ofertas presentadas.</w:t>
      </w:r>
    </w:p>
    <w:p w:rsidR="00ED1306" w:rsidRDefault="00ED1306" w:rsidP="00ED1306">
      <w:pPr>
        <w:pStyle w:val="NormalWeb"/>
        <w:jc w:val="both"/>
        <w:rPr>
          <w:color w:val="000000"/>
        </w:rPr>
      </w:pPr>
      <w:r>
        <w:rPr>
          <w:color w:val="000000"/>
        </w:rPr>
        <w:t>La totalidad de los materiales deberán estar aprobados por las normas y reglamentaciones vigentes.</w:t>
      </w:r>
    </w:p>
    <w:p w:rsidR="00ED1306" w:rsidRDefault="00ED1306" w:rsidP="00ED1306">
      <w:pPr>
        <w:pStyle w:val="NormalWeb"/>
        <w:jc w:val="both"/>
        <w:rPr>
          <w:color w:val="000000"/>
        </w:rPr>
      </w:pPr>
      <w:r>
        <w:rPr>
          <w:color w:val="000000"/>
        </w:rPr>
        <w:t xml:space="preserve">La cotización deberá incluir la entrega en obra, las cuales estarán ubicadas en la cuidad de Trenque Lauquen y 30 de </w:t>
      </w:r>
      <w:proofErr w:type="gramStart"/>
      <w:r>
        <w:rPr>
          <w:color w:val="000000"/>
        </w:rPr>
        <w:t>Agosto</w:t>
      </w:r>
      <w:proofErr w:type="gramEnd"/>
      <w:r>
        <w:rPr>
          <w:color w:val="000000"/>
        </w:rPr>
        <w:t xml:space="preserve"> en las cantidades establecidas en la planilla de cotización.</w:t>
      </w:r>
    </w:p>
    <w:p w:rsidR="00ED1306" w:rsidRPr="008374B4" w:rsidRDefault="00ED1306" w:rsidP="00ED1306">
      <w:pPr>
        <w:pStyle w:val="NormalWeb"/>
        <w:jc w:val="both"/>
        <w:rPr>
          <w:color w:val="000000"/>
        </w:rPr>
      </w:pPr>
    </w:p>
    <w:tbl>
      <w:tblPr>
        <w:tblStyle w:val="Tablaconcuadrcula"/>
        <w:tblW w:w="8718" w:type="dxa"/>
        <w:tblLook w:val="04A0" w:firstRow="1" w:lastRow="0" w:firstColumn="1" w:lastColumn="0" w:noHBand="0" w:noVBand="1"/>
      </w:tblPr>
      <w:tblGrid>
        <w:gridCol w:w="2179"/>
        <w:gridCol w:w="2179"/>
        <w:gridCol w:w="2180"/>
        <w:gridCol w:w="2180"/>
      </w:tblGrid>
      <w:tr w:rsidR="00A64808" w:rsidTr="00A64808">
        <w:trPr>
          <w:trHeight w:val="459"/>
        </w:trPr>
        <w:tc>
          <w:tcPr>
            <w:tcW w:w="2179" w:type="dxa"/>
          </w:tcPr>
          <w:p w:rsidR="00A64808" w:rsidRDefault="00A64808" w:rsidP="00950CA1">
            <w:pPr>
              <w:pStyle w:val="NormalWeb"/>
              <w:jc w:val="both"/>
              <w:rPr>
                <w:color w:val="000000"/>
              </w:rPr>
            </w:pPr>
            <w:r>
              <w:rPr>
                <w:color w:val="000000"/>
              </w:rPr>
              <w:t>Caños</w:t>
            </w:r>
          </w:p>
        </w:tc>
        <w:tc>
          <w:tcPr>
            <w:tcW w:w="2179" w:type="dxa"/>
          </w:tcPr>
          <w:p w:rsidR="00A64808" w:rsidRDefault="00A64808" w:rsidP="00950CA1">
            <w:pPr>
              <w:pStyle w:val="NormalWeb"/>
              <w:jc w:val="both"/>
              <w:rPr>
                <w:color w:val="000000"/>
              </w:rPr>
            </w:pPr>
            <w:r>
              <w:rPr>
                <w:color w:val="000000"/>
              </w:rPr>
              <w:t>Cantidad</w:t>
            </w:r>
          </w:p>
        </w:tc>
        <w:tc>
          <w:tcPr>
            <w:tcW w:w="2180" w:type="dxa"/>
          </w:tcPr>
          <w:p w:rsidR="00A64808" w:rsidRDefault="00A64808" w:rsidP="00950CA1">
            <w:pPr>
              <w:pStyle w:val="NormalWeb"/>
              <w:jc w:val="both"/>
              <w:rPr>
                <w:color w:val="000000"/>
              </w:rPr>
            </w:pPr>
            <w:r>
              <w:rPr>
                <w:color w:val="000000"/>
              </w:rPr>
              <w:t>Precio Unit</w:t>
            </w:r>
          </w:p>
        </w:tc>
        <w:tc>
          <w:tcPr>
            <w:tcW w:w="2180" w:type="dxa"/>
          </w:tcPr>
          <w:p w:rsidR="00A64808" w:rsidRDefault="00A64808" w:rsidP="00950CA1">
            <w:pPr>
              <w:pStyle w:val="NormalWeb"/>
              <w:jc w:val="both"/>
              <w:rPr>
                <w:color w:val="000000"/>
              </w:rPr>
            </w:pPr>
            <w:r>
              <w:rPr>
                <w:color w:val="000000"/>
              </w:rPr>
              <w:t>Precio Total</w:t>
            </w:r>
          </w:p>
        </w:tc>
      </w:tr>
      <w:tr w:rsidR="00A64808" w:rsidTr="00A64808">
        <w:trPr>
          <w:trHeight w:val="459"/>
        </w:trPr>
        <w:tc>
          <w:tcPr>
            <w:tcW w:w="2179" w:type="dxa"/>
          </w:tcPr>
          <w:p w:rsidR="00A64808" w:rsidRDefault="00A64808" w:rsidP="00950CA1">
            <w:pPr>
              <w:pStyle w:val="NormalWeb"/>
              <w:jc w:val="both"/>
              <w:rPr>
                <w:color w:val="000000"/>
              </w:rPr>
            </w:pPr>
            <w:r>
              <w:rPr>
                <w:color w:val="000000"/>
              </w:rPr>
              <w:t>Trenque Lauquen</w:t>
            </w:r>
          </w:p>
        </w:tc>
        <w:tc>
          <w:tcPr>
            <w:tcW w:w="2179" w:type="dxa"/>
          </w:tcPr>
          <w:p w:rsidR="00A64808" w:rsidRDefault="00A64808" w:rsidP="00950CA1">
            <w:pPr>
              <w:pStyle w:val="NormalWeb"/>
              <w:jc w:val="both"/>
              <w:rPr>
                <w:color w:val="000000"/>
              </w:rPr>
            </w:pPr>
            <w:r>
              <w:rPr>
                <w:color w:val="000000"/>
              </w:rPr>
              <w:t>84</w:t>
            </w:r>
          </w:p>
        </w:tc>
        <w:tc>
          <w:tcPr>
            <w:tcW w:w="2180" w:type="dxa"/>
          </w:tcPr>
          <w:p w:rsidR="00A64808" w:rsidRDefault="00A64808" w:rsidP="00950CA1">
            <w:pPr>
              <w:pStyle w:val="NormalWeb"/>
              <w:jc w:val="both"/>
              <w:rPr>
                <w:color w:val="000000"/>
              </w:rPr>
            </w:pPr>
            <w:r>
              <w:rPr>
                <w:color w:val="000000"/>
              </w:rPr>
              <w:t>$</w:t>
            </w:r>
          </w:p>
        </w:tc>
        <w:tc>
          <w:tcPr>
            <w:tcW w:w="2180" w:type="dxa"/>
          </w:tcPr>
          <w:p w:rsidR="00A64808" w:rsidRDefault="00A64808" w:rsidP="00950CA1">
            <w:pPr>
              <w:pStyle w:val="NormalWeb"/>
              <w:jc w:val="both"/>
              <w:rPr>
                <w:color w:val="000000"/>
              </w:rPr>
            </w:pPr>
            <w:r>
              <w:rPr>
                <w:color w:val="000000"/>
              </w:rPr>
              <w:t>$</w:t>
            </w:r>
          </w:p>
        </w:tc>
      </w:tr>
      <w:tr w:rsidR="00A64808" w:rsidTr="00A64808">
        <w:trPr>
          <w:trHeight w:val="459"/>
        </w:trPr>
        <w:tc>
          <w:tcPr>
            <w:tcW w:w="2179" w:type="dxa"/>
          </w:tcPr>
          <w:p w:rsidR="00A64808" w:rsidRDefault="00A64808" w:rsidP="00950CA1">
            <w:pPr>
              <w:pStyle w:val="NormalWeb"/>
              <w:jc w:val="both"/>
              <w:rPr>
                <w:color w:val="000000"/>
              </w:rPr>
            </w:pPr>
            <w:r>
              <w:rPr>
                <w:color w:val="000000"/>
              </w:rPr>
              <w:t>30 de Agosto</w:t>
            </w:r>
          </w:p>
        </w:tc>
        <w:tc>
          <w:tcPr>
            <w:tcW w:w="2179" w:type="dxa"/>
          </w:tcPr>
          <w:p w:rsidR="00A64808" w:rsidRDefault="00A64808" w:rsidP="00950CA1">
            <w:pPr>
              <w:pStyle w:val="NormalWeb"/>
              <w:jc w:val="both"/>
              <w:rPr>
                <w:color w:val="000000"/>
              </w:rPr>
            </w:pPr>
            <w:r>
              <w:rPr>
                <w:color w:val="000000"/>
              </w:rPr>
              <w:t>74</w:t>
            </w:r>
          </w:p>
        </w:tc>
        <w:tc>
          <w:tcPr>
            <w:tcW w:w="2180" w:type="dxa"/>
          </w:tcPr>
          <w:p w:rsidR="00A64808" w:rsidRDefault="00A64808" w:rsidP="00950CA1">
            <w:pPr>
              <w:pStyle w:val="NormalWeb"/>
              <w:jc w:val="both"/>
              <w:rPr>
                <w:color w:val="000000"/>
              </w:rPr>
            </w:pPr>
            <w:r>
              <w:rPr>
                <w:color w:val="000000"/>
              </w:rPr>
              <w:t>$</w:t>
            </w:r>
          </w:p>
        </w:tc>
        <w:tc>
          <w:tcPr>
            <w:tcW w:w="2180" w:type="dxa"/>
          </w:tcPr>
          <w:p w:rsidR="00A64808" w:rsidRDefault="00A64808" w:rsidP="00950CA1">
            <w:pPr>
              <w:pStyle w:val="NormalWeb"/>
              <w:jc w:val="both"/>
              <w:rPr>
                <w:color w:val="000000"/>
              </w:rPr>
            </w:pPr>
            <w:r>
              <w:rPr>
                <w:color w:val="000000"/>
              </w:rPr>
              <w:t>$</w:t>
            </w:r>
          </w:p>
        </w:tc>
      </w:tr>
    </w:tbl>
    <w:p w:rsidR="00460D82" w:rsidRPr="00460D82" w:rsidRDefault="00460D82" w:rsidP="00460D82"/>
    <w:sectPr w:rsidR="00460D82" w:rsidRPr="00460D82"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03" w:rsidRDefault="00122D03">
      <w:r>
        <w:separator/>
      </w:r>
    </w:p>
  </w:endnote>
  <w:endnote w:type="continuationSeparator" w:id="0">
    <w:p w:rsidR="00122D03" w:rsidRDefault="0012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6215C4" w:rsidP="00C95DAA">
    <w:pPr>
      <w:pStyle w:val="Piedepgina"/>
      <w:jc w:val="right"/>
      <w:rPr>
        <w:noProof/>
      </w:rPr>
    </w:pPr>
    <w:r>
      <w:rPr>
        <w:noProof/>
      </w:rPr>
      <w:drawing>
        <wp:anchor distT="0" distB="0" distL="114300" distR="114300" simplePos="0" relativeHeight="251661312" behindDoc="0" locked="0" layoutInCell="1" allowOverlap="1" wp14:anchorId="4C0A675E" wp14:editId="462C5704">
          <wp:simplePos x="0" y="0"/>
          <wp:positionH relativeFrom="column">
            <wp:posOffset>4152900</wp:posOffset>
          </wp:positionH>
          <wp:positionV relativeFrom="paragraph">
            <wp:posOffset>-1143000</wp:posOffset>
          </wp:positionV>
          <wp:extent cx="1023620" cy="1123315"/>
          <wp:effectExtent l="0" t="0" r="5080" b="63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03" w:rsidRDefault="00122D03">
      <w:r>
        <w:separator/>
      </w:r>
    </w:p>
  </w:footnote>
  <w:footnote w:type="continuationSeparator" w:id="0">
    <w:p w:rsidR="00122D03" w:rsidRDefault="00122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7"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8"/>
  </w:num>
  <w:num w:numId="4">
    <w:abstractNumId w:val="9"/>
  </w:num>
  <w:num w:numId="5">
    <w:abstractNumId w:val="2"/>
  </w:num>
  <w:num w:numId="6">
    <w:abstractNumId w:val="1"/>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5FA9-EDF5-49A6-B96F-C24CCF63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1476</Words>
  <Characters>8120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2023-05-30T12:44:00Z</cp:lastPrinted>
  <dcterms:created xsi:type="dcterms:W3CDTF">2023-06-05T11:03:00Z</dcterms:created>
  <dcterms:modified xsi:type="dcterms:W3CDTF">2023-07-14T14:24:00Z</dcterms:modified>
</cp:coreProperties>
</file>