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C97C26" w:rsidP="00E80A0B">
      <w:pPr>
        <w:spacing w:line="360" w:lineRule="auto"/>
        <w:jc w:val="center"/>
        <w:rPr>
          <w:b/>
          <w:u w:val="single"/>
        </w:rPr>
      </w:pPr>
      <w:r>
        <w:rPr>
          <w:b/>
          <w:u w:val="single"/>
        </w:rPr>
        <w:t>CONCURSO DE PRECIOS</w:t>
      </w:r>
      <w:r w:rsidR="00972B00" w:rsidRPr="002F293A">
        <w:rPr>
          <w:b/>
          <w:u w:val="single"/>
        </w:rPr>
        <w:t xml:space="preserve"> </w:t>
      </w:r>
      <w:r w:rsidR="00194FAE">
        <w:rPr>
          <w:b/>
          <w:u w:val="single"/>
        </w:rPr>
        <w:t>Nº 37</w:t>
      </w:r>
      <w:r w:rsidR="00E80A0B" w:rsidRPr="002F293A">
        <w:rPr>
          <w:b/>
          <w:u w:val="single"/>
        </w:rPr>
        <w:t>/20</w:t>
      </w:r>
      <w:r w:rsidR="00A6375C" w:rsidRPr="002F293A">
        <w:rPr>
          <w:b/>
          <w:u w:val="single"/>
        </w:rPr>
        <w:t>2</w:t>
      </w:r>
      <w:r>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194FAE">
        <w:rPr>
          <w:b/>
          <w:u w:val="single"/>
        </w:rPr>
        <w:t>670</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C97C26">
        <w:t>CONCURSO DE PRECIOS</w:t>
      </w:r>
      <w:r w:rsidRPr="002F293A">
        <w:t xml:space="preserve"> para el </w:t>
      </w:r>
      <w:r w:rsidR="00FA0AE4" w:rsidRPr="002F293A">
        <w:t>día de</w:t>
      </w:r>
      <w:r w:rsidR="00C97C26">
        <w:t xml:space="preserve"> </w:t>
      </w:r>
      <w:r w:rsidR="00194FAE">
        <w:t>18</w:t>
      </w:r>
      <w:r w:rsidR="00B85E13">
        <w:t xml:space="preserve"> </w:t>
      </w:r>
      <w:r w:rsidR="00194FAE">
        <w:t>Abril</w:t>
      </w:r>
      <w:r w:rsidR="008877EA">
        <w:t xml:space="preserve"> </w:t>
      </w:r>
      <w:r w:rsidR="00030B78" w:rsidRPr="002F293A">
        <w:t>de 202</w:t>
      </w:r>
      <w:r w:rsidR="00C97C26">
        <w:t>4</w:t>
      </w:r>
      <w:r w:rsidR="00003D1C" w:rsidRPr="002F293A">
        <w:t xml:space="preserve"> a las </w:t>
      </w:r>
      <w:r w:rsidR="00194FAE">
        <w:t>10</w:t>
      </w:r>
      <w:r w:rsidR="00B85E13">
        <w:t>.0</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C97C26">
        <w:rPr>
          <w:b/>
        </w:rPr>
        <w:t>EQUIPO DESFIBRILADOR</w:t>
      </w:r>
      <w:r w:rsidR="003D5F94">
        <w:rPr>
          <w:b/>
        </w:rPr>
        <w:t xml:space="preserve"> </w:t>
      </w:r>
      <w:r w:rsidR="00194FAE">
        <w:rPr>
          <w:b/>
        </w:rPr>
        <w:t>CON DESTINO A GIRODIAS</w:t>
      </w:r>
      <w:r w:rsidR="003D5F94">
        <w:rPr>
          <w:b/>
        </w:rPr>
        <w:t>”</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194FAE">
        <w:rPr>
          <w:b/>
        </w:rPr>
        <w:t>4893</w:t>
      </w:r>
      <w:r w:rsidR="003D5F94">
        <w:rPr>
          <w:b/>
        </w:rPr>
        <w:t xml:space="preserve"> </w:t>
      </w:r>
      <w:proofErr w:type="gramStart"/>
      <w:r w:rsidR="008877EA">
        <w:rPr>
          <w:b/>
        </w:rPr>
        <w:t xml:space="preserve">y </w:t>
      </w:r>
      <w:r w:rsidR="002F293A">
        <w:rPr>
          <w:b/>
        </w:rPr>
        <w:t xml:space="preserve"> </w:t>
      </w:r>
      <w:r w:rsidR="005B5FFC" w:rsidRPr="002F293A">
        <w:rPr>
          <w:b/>
        </w:rPr>
        <w:t>especificaciones</w:t>
      </w:r>
      <w:proofErr w:type="gramEnd"/>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F11905"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–Si este día fuese feriado o se declarase asueto administrativo, la apertura pasara para el día hábil posterior inmediato a la misma hora.</w:t>
      </w:r>
    </w:p>
    <w:p w:rsidR="00194FAE" w:rsidRPr="00194FAE" w:rsidRDefault="00194FAE" w:rsidP="008F1D07">
      <w:pPr>
        <w:tabs>
          <w:tab w:val="left" w:pos="7307"/>
        </w:tabs>
        <w:spacing w:line="360" w:lineRule="auto"/>
        <w:jc w:val="both"/>
      </w:pPr>
      <w:r>
        <w:t>Deben presentar el ANEXO INVITACION firmado y adjunto al pliego.</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bookmarkStart w:id="0" w:name="_GoBack"/>
      <w:bookmarkEnd w:id="0"/>
    </w:p>
    <w:p w:rsidR="000A7D10" w:rsidRPr="002F293A" w:rsidRDefault="001572DE" w:rsidP="008F1D07">
      <w:pPr>
        <w:tabs>
          <w:tab w:val="left" w:pos="7307"/>
        </w:tabs>
        <w:spacing w:line="360" w:lineRule="auto"/>
        <w:jc w:val="both"/>
      </w:pPr>
      <w:r w:rsidRPr="002F293A">
        <w:rPr>
          <w:b/>
          <w:u w:val="single"/>
        </w:rPr>
        <w:lastRenderedPageBreak/>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lastRenderedPageBreak/>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w:t>
      </w:r>
      <w:r w:rsidR="00194FAE" w:rsidRPr="00194FAE">
        <w:rPr>
          <w:b/>
        </w:rPr>
        <w:t>INMEDIATA</w:t>
      </w:r>
      <w:r w:rsidR="00194FAE">
        <w:t xml:space="preserve">; </w:t>
      </w:r>
      <w:r w:rsidR="00871FBE">
        <w:t>Luego de su adjudicación</w:t>
      </w:r>
      <w:r w:rsidR="009B0929" w:rsidRPr="002F293A">
        <w:t xml:space="preserve">,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lastRenderedPageBreak/>
        <w:t xml:space="preserve"> </w:t>
      </w:r>
      <w:hyperlink r:id="rId9" w:history="1">
        <w:r w:rsidR="00B85E13" w:rsidRPr="00032007">
          <w:rPr>
            <w:rStyle w:val="Hipervnculo"/>
          </w:rPr>
          <w:t>www.hcd.trenquelauquen.com</w:t>
        </w:r>
      </w:hyperlink>
    </w:p>
    <w:p w:rsidR="00B85E13" w:rsidRPr="002F293A" w:rsidRDefault="00B85E13" w:rsidP="008F1D07">
      <w:pPr>
        <w:pStyle w:val="NormalWeb"/>
        <w:jc w:val="both"/>
        <w:rPr>
          <w:color w:val="000000"/>
        </w:rPr>
      </w:pPr>
      <w:r>
        <w:rPr>
          <w:color w:val="000000"/>
        </w:rPr>
        <w:t xml:space="preserve">Lugar de entrega: En </w:t>
      </w:r>
      <w:r w:rsidR="00770775">
        <w:rPr>
          <w:color w:val="000000"/>
        </w:rPr>
        <w:t>DEPOSITO DE COMPRAS</w:t>
      </w:r>
    </w:p>
    <w:p w:rsidR="001E2013" w:rsidRPr="002F293A" w:rsidRDefault="001E2013" w:rsidP="008F1D07">
      <w:pPr>
        <w:pStyle w:val="NormalWeb"/>
        <w:jc w:val="both"/>
        <w:rPr>
          <w:color w:val="000000"/>
        </w:rPr>
      </w:pPr>
    </w:p>
    <w:p w:rsidR="002F293A" w:rsidRDefault="002F293A" w:rsidP="008877EA">
      <w:pPr>
        <w:pStyle w:val="NormalWeb"/>
        <w:numPr>
          <w:ilvl w:val="0"/>
          <w:numId w:val="5"/>
        </w:numPr>
        <w:jc w:val="both"/>
        <w:rPr>
          <w:color w:val="000000"/>
        </w:rPr>
      </w:pPr>
      <w:r>
        <w:rPr>
          <w:color w:val="000000"/>
        </w:rPr>
        <w:t>Adjuntos: Anexo 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C97C26" w:rsidRDefault="00C97C26" w:rsidP="008F1D07">
      <w:pPr>
        <w:pStyle w:val="NormalWeb"/>
        <w:jc w:val="both"/>
        <w:rPr>
          <w:rFonts w:ascii="Calibri" w:eastAsia="Calibri" w:hAnsi="Calibri"/>
          <w:color w:val="000000"/>
          <w:sz w:val="22"/>
          <w:szCs w:val="22"/>
          <w:lang w:eastAsia="en-US"/>
        </w:rPr>
      </w:pPr>
    </w:p>
    <w:p w:rsidR="00194FAE" w:rsidRPr="002F293A" w:rsidRDefault="00194FAE" w:rsidP="008F1D07">
      <w:pPr>
        <w:pStyle w:val="NormalWeb"/>
        <w:jc w:val="both"/>
        <w:rPr>
          <w:color w:val="000000"/>
        </w:rPr>
      </w:pPr>
    </w:p>
    <w:p w:rsidR="001E2013" w:rsidRPr="002F293A" w:rsidRDefault="002F293A" w:rsidP="002F293A">
      <w:pPr>
        <w:pStyle w:val="NormalWeb"/>
        <w:jc w:val="center"/>
        <w:rPr>
          <w:b/>
          <w:color w:val="000000"/>
          <w:u w:val="single"/>
        </w:rPr>
      </w:pPr>
      <w:r w:rsidRPr="002F293A">
        <w:rPr>
          <w:b/>
          <w:color w:val="000000"/>
          <w:u w:val="single"/>
        </w:rPr>
        <w:t>ANEXO I</w:t>
      </w:r>
    </w:p>
    <w:p w:rsidR="002F293A" w:rsidRPr="002F293A" w:rsidRDefault="002F293A" w:rsidP="002F293A">
      <w:pPr>
        <w:pStyle w:val="NormalWeb"/>
        <w:jc w:val="center"/>
        <w:rPr>
          <w:b/>
          <w:color w:val="000000"/>
          <w:u w:val="single"/>
        </w:rPr>
      </w:pPr>
      <w:r w:rsidRPr="002F293A">
        <w:rPr>
          <w:b/>
          <w:color w:val="000000"/>
          <w:u w:val="single"/>
        </w:rPr>
        <w:t xml:space="preserve">COTIZACION Nº: </w:t>
      </w:r>
      <w:r w:rsidR="00194FAE">
        <w:rPr>
          <w:b/>
          <w:color w:val="000000"/>
          <w:u w:val="single"/>
        </w:rPr>
        <w:t>4893</w:t>
      </w:r>
    </w:p>
    <w:p w:rsidR="002F293A" w:rsidRDefault="002F293A" w:rsidP="002F293A">
      <w:pPr>
        <w:jc w:val="center"/>
        <w:rPr>
          <w:rFonts w:ascii="Calibri" w:eastAsia="Calibri" w:hAnsi="Calibri" w:cs="Calibri"/>
          <w:b/>
          <w:u w:val="single"/>
        </w:rPr>
      </w:pPr>
      <w:r>
        <w:rPr>
          <w:rFonts w:ascii="Calibri" w:eastAsia="Calibri" w:hAnsi="Calibri" w:cs="Calibri"/>
          <w:b/>
          <w:u w:val="single"/>
        </w:rPr>
        <w:t xml:space="preserve">Especificaciones Técnicas </w:t>
      </w:r>
    </w:p>
    <w:p w:rsidR="002F293A" w:rsidRDefault="00C97C26" w:rsidP="003D5F94">
      <w:pPr>
        <w:jc w:val="center"/>
        <w:rPr>
          <w:rFonts w:ascii="Calibri" w:eastAsia="Calibri" w:hAnsi="Calibri" w:cs="Calibri"/>
          <w:b/>
        </w:rPr>
      </w:pPr>
      <w:r>
        <w:rPr>
          <w:rFonts w:ascii="Calibri" w:eastAsia="Calibri" w:hAnsi="Calibri" w:cs="Calibri"/>
          <w:b/>
        </w:rPr>
        <w:t>DESFIBRILADOR</w:t>
      </w:r>
    </w:p>
    <w:p w:rsidR="002F293A" w:rsidRDefault="002F293A" w:rsidP="002F293A">
      <w:pPr>
        <w:jc w:val="both"/>
        <w:rPr>
          <w:rFonts w:ascii="Calibri" w:eastAsia="Calibri" w:hAnsi="Calibri" w:cs="Calibri"/>
          <w:b/>
        </w:rPr>
      </w:pPr>
      <w:r>
        <w:rPr>
          <w:rFonts w:ascii="Calibri" w:eastAsia="Calibri" w:hAnsi="Calibri" w:cs="Calibri"/>
          <w:b/>
        </w:rPr>
        <w:t>Cantidad: 1.</w:t>
      </w:r>
    </w:p>
    <w:p w:rsidR="00C97C26" w:rsidRDefault="00C97C26" w:rsidP="002F293A">
      <w:pPr>
        <w:jc w:val="both"/>
        <w:rPr>
          <w:rFonts w:ascii="Calibri" w:eastAsia="Calibri" w:hAnsi="Calibri" w:cs="Calibri"/>
          <w:b/>
        </w:rPr>
      </w:pPr>
      <w:r>
        <w:rPr>
          <w:rFonts w:ascii="Calibri" w:eastAsia="Calibri" w:hAnsi="Calibri" w:cs="Calibri"/>
          <w:b/>
        </w:rPr>
        <w:t>GENERALIDADES:</w:t>
      </w:r>
    </w:p>
    <w:p w:rsidR="002F293A" w:rsidRDefault="002F293A" w:rsidP="002F293A">
      <w:pPr>
        <w:jc w:val="both"/>
        <w:rPr>
          <w:b/>
        </w:rPr>
      </w:pPr>
    </w:p>
    <w:p w:rsidR="00C97C26" w:rsidRPr="00C97C26" w:rsidRDefault="00C97C26" w:rsidP="003D5F94">
      <w:pPr>
        <w:rPr>
          <w:sz w:val="28"/>
          <w:szCs w:val="28"/>
        </w:rPr>
      </w:pPr>
      <w:r w:rsidRPr="00C97C26">
        <w:rPr>
          <w:sz w:val="28"/>
          <w:szCs w:val="28"/>
        </w:rPr>
        <w:t>Monitor desfibrilador portátil</w:t>
      </w:r>
      <w:r>
        <w:rPr>
          <w:sz w:val="28"/>
          <w:szCs w:val="28"/>
        </w:rPr>
        <w:t>,</w:t>
      </w:r>
      <w:r w:rsidRPr="00C97C26">
        <w:rPr>
          <w:sz w:val="28"/>
          <w:szCs w:val="28"/>
        </w:rPr>
        <w:t xml:space="preserve"> con alimentación a batería y desde red eléctrica 220 </w:t>
      </w:r>
      <w:proofErr w:type="spellStart"/>
      <w:r w:rsidRPr="00C97C26">
        <w:rPr>
          <w:sz w:val="28"/>
          <w:szCs w:val="28"/>
        </w:rPr>
        <w:t>Vca</w:t>
      </w:r>
      <w:proofErr w:type="spellEnd"/>
      <w:r w:rsidRPr="00C97C26">
        <w:rPr>
          <w:sz w:val="28"/>
          <w:szCs w:val="28"/>
        </w:rPr>
        <w:t xml:space="preserve">. Preferentemente batería de plomo de gel absorbido. Debe incluir cable de alimentación 220 </w:t>
      </w:r>
      <w:proofErr w:type="spellStart"/>
      <w:r w:rsidRPr="00C97C26">
        <w:rPr>
          <w:sz w:val="28"/>
          <w:szCs w:val="28"/>
        </w:rPr>
        <w:t>Vca</w:t>
      </w:r>
      <w:proofErr w:type="spellEnd"/>
      <w:r w:rsidRPr="00C97C26">
        <w:rPr>
          <w:sz w:val="28"/>
          <w:szCs w:val="28"/>
        </w:rPr>
        <w:t xml:space="preserve"> normalizado IRAM. Autonomía de al menos 6 horas de monitorización continua o 60 descargas de 360 </w:t>
      </w:r>
      <w:proofErr w:type="spellStart"/>
      <w:r w:rsidRPr="00C97C26">
        <w:rPr>
          <w:sz w:val="28"/>
          <w:szCs w:val="28"/>
        </w:rPr>
        <w:t>Joules</w:t>
      </w:r>
      <w:proofErr w:type="spellEnd"/>
      <w:r w:rsidRPr="00C97C26">
        <w:rPr>
          <w:sz w:val="28"/>
          <w:szCs w:val="28"/>
        </w:rPr>
        <w:t xml:space="preserve">. </w:t>
      </w:r>
    </w:p>
    <w:p w:rsidR="00C97C26" w:rsidRPr="00C97C26" w:rsidRDefault="00C97C26" w:rsidP="003D5F94">
      <w:pPr>
        <w:rPr>
          <w:sz w:val="28"/>
          <w:szCs w:val="28"/>
        </w:rPr>
      </w:pPr>
      <w:r w:rsidRPr="00C97C26">
        <w:rPr>
          <w:sz w:val="28"/>
          <w:szCs w:val="28"/>
        </w:rPr>
        <w:t xml:space="preserve">Autocomprobaciones al iniciar y alarmas por desperfectos técnicos. Con manija para transporte, con teclas de accesos directos y únicos a las funciones principales, con teclado de limpieza simple y protección contra derrame de líquidos (preferentemente membrana o táctil). Con pantalla para visualización de trazado de ECG, parámetros y configuraciones. Con indicador de carga y batería agotada. Producto médico con aprobación del Ministerio de Salud de la Nación, registrado en ANMAT. </w:t>
      </w:r>
    </w:p>
    <w:p w:rsidR="00C97C26" w:rsidRPr="00C97C26" w:rsidRDefault="00C97C26" w:rsidP="003D5F94">
      <w:pPr>
        <w:rPr>
          <w:sz w:val="28"/>
          <w:szCs w:val="28"/>
        </w:rPr>
      </w:pPr>
    </w:p>
    <w:p w:rsidR="00C97C26" w:rsidRPr="00C97C26" w:rsidRDefault="00C97C26" w:rsidP="003D5F94">
      <w:pPr>
        <w:rPr>
          <w:sz w:val="28"/>
          <w:szCs w:val="28"/>
        </w:rPr>
      </w:pPr>
      <w:r w:rsidRPr="00C97C26">
        <w:rPr>
          <w:sz w:val="28"/>
          <w:szCs w:val="28"/>
          <w:u w:val="single"/>
        </w:rPr>
        <w:t>Monitorización de ECG:</w:t>
      </w:r>
      <w:r w:rsidRPr="00C97C26">
        <w:rPr>
          <w:sz w:val="28"/>
          <w:szCs w:val="28"/>
        </w:rPr>
        <w:t xml:space="preserve"> Visualización en pantalla de curva de ECG y frecuencia cardíaca en números. Control de amplitud de curva de ECG. Selección de velocidad de trazado de 25 y 50 mm/segundo. Posibilidad de congelamiento de imagen. Posibilidad de seleccionar derivaciones (I, II, III, PALAS). Con rechazo a modo común mayor a 80 </w:t>
      </w:r>
      <w:proofErr w:type="spellStart"/>
      <w:r w:rsidRPr="00C97C26">
        <w:rPr>
          <w:sz w:val="28"/>
          <w:szCs w:val="28"/>
        </w:rPr>
        <w:t>db</w:t>
      </w:r>
      <w:proofErr w:type="spellEnd"/>
      <w:r w:rsidRPr="00C97C26">
        <w:rPr>
          <w:sz w:val="28"/>
          <w:szCs w:val="28"/>
        </w:rPr>
        <w:t xml:space="preserve"> y filtro de línea de 50 Hz. Circuito de entrada de ECG protegido contra descargas de desfibrilación. Límites de alarmas configurables, con tonos audibles y gráficas cuando se excedan. Debe incluir cable de ECG de tres o cinco derivaciones con conectores SNAP. </w:t>
      </w:r>
    </w:p>
    <w:p w:rsidR="00C97C26" w:rsidRPr="00C97C26" w:rsidRDefault="00C97C26" w:rsidP="003D5F94">
      <w:pPr>
        <w:rPr>
          <w:sz w:val="28"/>
          <w:szCs w:val="28"/>
        </w:rPr>
      </w:pPr>
    </w:p>
    <w:p w:rsidR="003D5F94" w:rsidRPr="00C97C26" w:rsidRDefault="00C97C26" w:rsidP="003D5F94">
      <w:pPr>
        <w:rPr>
          <w:sz w:val="28"/>
          <w:szCs w:val="28"/>
        </w:rPr>
      </w:pPr>
      <w:r w:rsidRPr="00C97C26">
        <w:rPr>
          <w:sz w:val="28"/>
          <w:szCs w:val="28"/>
          <w:u w:val="single"/>
        </w:rPr>
        <w:lastRenderedPageBreak/>
        <w:t>Desfibrilación:</w:t>
      </w:r>
      <w:r w:rsidRPr="00C97C26">
        <w:rPr>
          <w:sz w:val="28"/>
          <w:szCs w:val="28"/>
        </w:rPr>
        <w:t xml:space="preserve"> Desfibrilación en tres pasos (selección de energía, carga y descarga). Forma de onda monofásica, exponencial truncada sobre carga nominal de 50 </w:t>
      </w:r>
      <w:proofErr w:type="spellStart"/>
      <w:r w:rsidRPr="00C97C26">
        <w:rPr>
          <w:sz w:val="28"/>
          <w:szCs w:val="28"/>
        </w:rPr>
        <w:t>ohms</w:t>
      </w:r>
      <w:proofErr w:type="spellEnd"/>
      <w:r w:rsidRPr="00C97C26">
        <w:rPr>
          <w:sz w:val="28"/>
          <w:szCs w:val="28"/>
        </w:rPr>
        <w:t xml:space="preserve">. Posibilidad de seleccionar energía entre 2 y 360 </w:t>
      </w:r>
      <w:proofErr w:type="spellStart"/>
      <w:r w:rsidRPr="00C97C26">
        <w:rPr>
          <w:sz w:val="28"/>
          <w:szCs w:val="28"/>
        </w:rPr>
        <w:t>Joules</w:t>
      </w:r>
      <w:proofErr w:type="spellEnd"/>
      <w:r w:rsidRPr="00C97C26">
        <w:rPr>
          <w:sz w:val="28"/>
          <w:szCs w:val="28"/>
        </w:rPr>
        <w:t xml:space="preserve"> para paletas externas. Tiempo de carga a máxima energía menor a 6 segundos. Controles de carga y descarga en panel del equipo y palas. Modo de descarga libre y sincronizada mediante activación del modo. Descarga interna de seguridad por tiempo según normativa, por apagado del equipo, por desconexión de palas o por falla técnica. Auto test interno para prueba de controles y función de desfibrilación. Debe incluir un juego de palas externas para adultos con adaptadores de palas para pacientes pediátricos</w:t>
      </w:r>
      <w:r>
        <w:rPr>
          <w:sz w:val="28"/>
          <w:szCs w:val="28"/>
        </w:rPr>
        <w:t>.</w:t>
      </w:r>
    </w:p>
    <w:sectPr w:rsidR="003D5F94" w:rsidRPr="00C97C26"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50" w:rsidRDefault="00F85B50">
      <w:r>
        <w:separator/>
      </w:r>
    </w:p>
  </w:endnote>
  <w:endnote w:type="continuationSeparator" w:id="0">
    <w:p w:rsidR="00F85B50" w:rsidRDefault="00F8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D30111" w:rsidP="00991FF4">
    <w:pPr>
      <w:pStyle w:val="Piedepgina"/>
      <w:jc w:val="right"/>
    </w:pPr>
    <w:r>
      <w:rPr>
        <w:b/>
        <w:noProof/>
        <w:u w:val="single"/>
      </w:rPr>
      <w:drawing>
        <wp:anchor distT="0" distB="0" distL="114300" distR="114300" simplePos="0" relativeHeight="251659264" behindDoc="1" locked="0" layoutInCell="1" allowOverlap="1" wp14:anchorId="27A2A938" wp14:editId="26429FD0">
          <wp:simplePos x="0" y="0"/>
          <wp:positionH relativeFrom="margin">
            <wp:posOffset>4495800</wp:posOffset>
          </wp:positionH>
          <wp:positionV relativeFrom="paragraph">
            <wp:posOffset>-552450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50" w:rsidRDefault="00F85B50">
      <w:r>
        <w:separator/>
      </w:r>
    </w:p>
  </w:footnote>
  <w:footnote w:type="continuationSeparator" w:id="0">
    <w:p w:rsidR="00F85B50" w:rsidRDefault="00F85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94FAE"/>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089E"/>
    <w:rsid w:val="006B662A"/>
    <w:rsid w:val="006C2F2C"/>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0775"/>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0681"/>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3628"/>
    <w:rsid w:val="00B55444"/>
    <w:rsid w:val="00B61A94"/>
    <w:rsid w:val="00B62140"/>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30111"/>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5B50"/>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8D0C-B473-4832-A573-6B115833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35</cp:revision>
  <cp:lastPrinted>2023-08-17T10:47:00Z</cp:lastPrinted>
  <dcterms:created xsi:type="dcterms:W3CDTF">2023-05-19T10:59:00Z</dcterms:created>
  <dcterms:modified xsi:type="dcterms:W3CDTF">2024-04-08T13:46:00Z</dcterms:modified>
</cp:coreProperties>
</file>